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BA" w:rsidRDefault="00AF66C7">
      <w:pPr>
        <w:pStyle w:val="ConsPlusNormal"/>
        <w:jc w:val="right"/>
        <w:outlineLvl w:val="0"/>
      </w:pPr>
      <w:bookmarkStart w:id="0" w:name="_GoBack"/>
      <w:bookmarkEnd w:id="0"/>
      <w:r>
        <w:t>Приложение N 6</w:t>
      </w:r>
    </w:p>
    <w:p w:rsidR="00AD24BA" w:rsidRDefault="00AF66C7">
      <w:pPr>
        <w:pStyle w:val="ConsPlusNormal"/>
        <w:jc w:val="right"/>
      </w:pPr>
      <w:r>
        <w:t>к Программе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</w:pPr>
      <w:r>
        <w:t>ПОРЯДОК</w:t>
      </w:r>
    </w:p>
    <w:p w:rsidR="00AD24BA" w:rsidRDefault="00AF66C7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AD24BA" w:rsidRDefault="00AF66C7">
      <w:pPr>
        <w:pStyle w:val="ConsPlusTitle"/>
        <w:jc w:val="center"/>
      </w:pPr>
      <w:r>
        <w:t>БЮДЖЕТА НА ФИНАНСОВОЕ ОБЕСПЕЧЕНИЕ ДЕЯТЕЛЬНОСТИ АВТОНОМНОЙ</w:t>
      </w:r>
    </w:p>
    <w:p w:rsidR="00AD24BA" w:rsidRDefault="00AF66C7">
      <w:pPr>
        <w:pStyle w:val="ConsPlusTitle"/>
        <w:jc w:val="center"/>
      </w:pPr>
      <w:r>
        <w:t>НЕКОММЕРЧЕСКОЙ ОРГАНИЗАЦИИ "ЦЕНТР ГОРОДСКОГО РАЗВИТИЯ</w:t>
      </w:r>
    </w:p>
    <w:p w:rsidR="00AD24BA" w:rsidRDefault="00AF66C7">
      <w:pPr>
        <w:pStyle w:val="ConsPlusTitle"/>
        <w:jc w:val="center"/>
      </w:pPr>
      <w:proofErr w:type="gramStart"/>
      <w:r>
        <w:t>МУРМАНСКОЙ ОБЛАСТИ"</w:t>
      </w:r>
      <w:r>
        <w:t xml:space="preserve"> (В ЧАСТИ РАСХОДОВ НА ОБЕСПЕЧЕНИЕ</w:t>
      </w:r>
      <w:proofErr w:type="gramEnd"/>
    </w:p>
    <w:p w:rsidR="00AD24BA" w:rsidRDefault="00AF66C7">
      <w:pPr>
        <w:pStyle w:val="ConsPlusTitle"/>
        <w:jc w:val="center"/>
      </w:pPr>
      <w:proofErr w:type="gramStart"/>
      <w:r>
        <w:t>ДЕЯТЕЛЬНОСТИ)</w:t>
      </w:r>
      <w:proofErr w:type="gramEnd"/>
    </w:p>
    <w:p w:rsidR="00AD24BA" w:rsidRDefault="00AD24B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D24B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4BA" w:rsidRDefault="00AD24B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4BA" w:rsidRDefault="00AD24B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D24BA" w:rsidRDefault="00AF66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24BA" w:rsidRDefault="00AF66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AD24BA" w:rsidRDefault="00AF66C7">
            <w:pPr>
              <w:pStyle w:val="ConsPlusNormal"/>
              <w:jc w:val="center"/>
            </w:pPr>
            <w:r>
              <w:rPr>
                <w:color w:val="392C69"/>
              </w:rPr>
              <w:t>от 28.07.2025 N 492-ПП)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4BA" w:rsidRDefault="00AD24BA">
            <w:pPr>
              <w:pStyle w:val="ConsPlusNormal"/>
            </w:pPr>
          </w:p>
        </w:tc>
      </w:tr>
    </w:tbl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1. Общие положения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устанавливает правила определения объема и предоставления субсидии из областного бюджета автономной некоммерческой организации "Центр городского развития Мурманской области" (далее - АНО, Получатель) на финансовое обеспечение затрат,</w:t>
      </w:r>
      <w:r>
        <w:t xml:space="preserve"> связанных с осуществлением уставной деятельности Получателя в сфере повышения качества и комфорта городской среды, а также </w:t>
      </w:r>
      <w:proofErr w:type="spellStart"/>
      <w:r>
        <w:t>цифровизации</w:t>
      </w:r>
      <w:proofErr w:type="spellEnd"/>
      <w:r>
        <w:t xml:space="preserve"> городского хозяйства на территории Мурманской области (далее - Порядок, субсидия).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bookmarkStart w:id="1" w:name="P16"/>
      <w:bookmarkEnd w:id="1"/>
      <w:r>
        <w:t>1.2. Целью предоставления субсидии я</w:t>
      </w:r>
      <w:r>
        <w:t xml:space="preserve">вляется финансовое обеспечение затрат Получателя на осуществление уставной деятельности по реализации мероприятий в сфере повышения качества и комфорта городской среды, а также </w:t>
      </w:r>
      <w:proofErr w:type="spellStart"/>
      <w:r>
        <w:t>цифровизации</w:t>
      </w:r>
      <w:proofErr w:type="spellEnd"/>
      <w:r>
        <w:t xml:space="preserve"> городского хозяйства на территории Мурманской области в рамках реа</w:t>
      </w:r>
      <w:r>
        <w:t>лизации мероприятий государственной программы Мурманской области "Формирование современной городской среды".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2" w:name="P17"/>
      <w:bookmarkEnd w:id="2"/>
      <w:r>
        <w:t>1.3. Субсидия предоставляется на финансовое обеспечение деятельности АНО по следующим направлениям расходов: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1.3.1. Оплата труда работников с учето</w:t>
      </w:r>
      <w:r>
        <w:t>м размера страховых взносов, подлежащих уплате в государственные внебюджетные фонды Российской Федерации.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1.3.2. Компенсация оплаты стоимости проезда и провоза багажа к месту использования отпуска и обратно.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1.3.3. Оплата товаров, работ, услуг, а именно: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арендная плата за пользование имуществом;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работы, услуги по содержанию имущества;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приобретение основных средств и материальных запасов;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проживание в гостинице или наем</w:t>
      </w:r>
      <w:r>
        <w:t xml:space="preserve"> жилого помещения руководителю организации, его заместителям.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lastRenderedPageBreak/>
        <w:t>1.3.4. Возмещение расходов, связанных со служебными командировками.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1.3.5. Оплата налогов, сборов, страховых взносов и иных обязательных платежей в бюджет соответствующего уровня бюджетной систе</w:t>
      </w:r>
      <w:r>
        <w:t>мы Российской Федерации.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1.3.6. Расходы на банковское обслуживание.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1.4. Министерство градостроительства и благоустройства Мурманской области (далее - Министерство) является главным распорядителем бюджетных средств, до которого в соответствии с бюджетным з</w:t>
      </w:r>
      <w:r>
        <w:t>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 Субсидия предоставляется в пределах бюд</w:t>
      </w:r>
      <w:r>
        <w:t xml:space="preserve">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цели, указанные в </w:t>
      </w:r>
      <w:hyperlink w:anchor="P16" w:tooltip="1.2. Целью предоставления субсидии является финансовое обеспечение затрат Получателя на осуществление уставной деятельности по реализации мероприятий в сфере повышения качества и комфорта городской среды, а также цифровизации городского хозяйства на территории">
        <w:r>
          <w:rPr>
            <w:color w:val="0000FF"/>
          </w:rPr>
          <w:t>пунктах 1.2</w:t>
        </w:r>
      </w:hyperlink>
      <w:r>
        <w:t xml:space="preserve">,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1.3</w:t>
        </w:r>
      </w:hyperlink>
      <w:r>
        <w:t xml:space="preserve"> настоящего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1.5. Сведения о субсидии, предоставляемой в соответ</w:t>
      </w:r>
      <w:r>
        <w:t>ствии с настоящим Порядком, подлежат размещению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2</w:t>
      </w:r>
      <w:r>
        <w:t>. Условия предоставления субсидии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2.1.1. </w:t>
      </w:r>
      <w:proofErr w:type="gramStart"/>
      <w:r>
        <w:t xml:space="preserve">Наличие согласия Получателя на осуществление Министерством проверки соблюдения Получателем условий и порядка предоставления субсидии, в том числе в части достижения </w:t>
      </w:r>
      <w:r>
        <w:t>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и на включение таких положений в соглашение о предоставлении субсидии, зак</w:t>
      </w:r>
      <w:r>
        <w:t>люченное Министерством с АНО (далее - соглашение).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>2.1.2. Запрет на приобретение Получателем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</w:t>
      </w:r>
      <w:r>
        <w:t>акупке (поставке) высокотехнологичного импортного оборудования, сырья и комплектующих изделий.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2.1.3. Принятие Получателем обязательства по достижению значений результата, установленных в соглашении.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2.1.4. Соответствие Получателя требованиям, установленны</w:t>
      </w:r>
      <w:r>
        <w:t xml:space="preserve">м в </w:t>
      </w:r>
      <w:hyperlink w:anchor="P39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</w:t>
      </w:r>
      <w:r>
        <w:t xml:space="preserve">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3" w:name="P39"/>
      <w:bookmarkEnd w:id="3"/>
      <w:r>
        <w:t>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2.2.1. Отсутствие у Получателя: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на едином на</w:t>
      </w:r>
      <w:r>
        <w:t xml:space="preserve">логовом счете задолженности по уплате налогов, сборов и страховых взносов в бюджеты бюджетной системы Российской Федерации, или не превышает размер, определенный </w:t>
      </w:r>
      <w:r>
        <w:lastRenderedPageBreak/>
        <w:t>пунктом 3 статьи 47 Налогового кодекса Российской Федерации;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просроченной задолженности по в</w:t>
      </w:r>
      <w:r>
        <w:t xml:space="preserve">озврату в областной бюджет субсидий,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2.2.2. </w:t>
      </w:r>
      <w:proofErr w:type="gramStart"/>
      <w:r>
        <w:t>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</w:t>
      </w:r>
      <w:r>
        <w:t>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>
        <w:t xml:space="preserve"> </w:t>
      </w:r>
      <w:r>
        <w:t xml:space="preserve">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</w:t>
      </w:r>
      <w:r>
        <w:t>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</w:t>
      </w:r>
      <w:r>
        <w:t>зованное через участие в капитале указанных публичных</w:t>
      </w:r>
      <w:proofErr w:type="gramEnd"/>
      <w:r>
        <w:t xml:space="preserve"> акционерных обществ.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2.2.3.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2.2.4. </w:t>
      </w:r>
      <w:proofErr w:type="gramStart"/>
      <w:r>
        <w:t>П</w:t>
      </w:r>
      <w:r>
        <w:t xml:space="preserve">олучатель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</w:t>
      </w:r>
      <w:r>
        <w:t>террористическими организациями и террористами или с распространением оружия массового уничтожения.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>2.2.5.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</w:t>
      </w:r>
      <w:r>
        <w:t xml:space="preserve">ые </w:t>
      </w:r>
      <w:hyperlink w:anchor="P16" w:tooltip="1.2. Целью предоставления субсидии является финансовое обеспечение затрат Получателя на осуществление уставной деятельности по реализации мероприятий в сфере повышения качества и комфорта городской среды, а также цифровизации городского хозяйства на территории">
        <w:r>
          <w:rPr>
            <w:color w:val="0000FF"/>
          </w:rPr>
          <w:t>пунктами 1.2</w:t>
        </w:r>
      </w:hyperlink>
      <w:r>
        <w:t xml:space="preserve">,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1.3</w:t>
        </w:r>
      </w:hyperlink>
      <w:r>
        <w:t xml:space="preserve"> настоящего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2.2.6. Получатель не является иностранным агентом в соответствии с Федеральным законом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3. Порядок предоставления субсидии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bookmarkStart w:id="4" w:name="P51"/>
      <w:bookmarkEnd w:id="4"/>
      <w:r>
        <w:t>3.1. Для получения субсидии Получатель представляет в Минис</w:t>
      </w:r>
      <w:r>
        <w:t>терство следующие документы: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заявку на предоставление субсидии (далее - Заявка);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копии учредительных документов, заверенные в установленном порядке;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письменное согласие Получателя на осуществление Министерством проверки соблюдения Получателем условий</w:t>
      </w:r>
      <w:r>
        <w:t xml:space="preserve"> и порядка ее предоставления,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(далее - пров</w:t>
      </w:r>
      <w:r>
        <w:t>ерки) и на включение таких положений в соглашение;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lastRenderedPageBreak/>
        <w:t>- выписку из Единого государственного реестра юридических лиц, справку налогового органа об отсутствии на едином налоговом счете задолженности по уплате налогов, сборов и страховых взносов в бюджеты бюджет</w:t>
      </w:r>
      <w:r>
        <w:t>ной системы Российской Федерации (указанные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</w:t>
      </w:r>
      <w:r>
        <w:t>аимодействия, если Получатель не представил указанные документы);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- финансово-экономические расчеты с документами, обосновывающими стоимость работ, услуг, товаров, приобретаемых в соответствии с направлениями расходов, указанными в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пункте 1.3</w:t>
        </w:r>
      </w:hyperlink>
      <w:r>
        <w:t xml:space="preserve"> настоящего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5" w:name="P57"/>
      <w:bookmarkEnd w:id="5"/>
      <w:r>
        <w:t xml:space="preserve">3.2. Министерство в течение десяти рабочих дней со дня поступления документов, указанных в </w:t>
      </w:r>
      <w:hyperlink w:anchor="P51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рассматривает </w:t>
      </w:r>
      <w:proofErr w:type="gramStart"/>
      <w:r>
        <w:t>их</w:t>
      </w:r>
      <w:proofErr w:type="gramEnd"/>
      <w:r>
        <w:t xml:space="preserve"> в том числе на соответствие требованиям, указанным в </w:t>
      </w:r>
      <w:hyperlink w:anchor="P39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Порядка, и обоснованность объемов средств, заявленных по </w:t>
      </w:r>
      <w:r>
        <w:t>направлениям расходов, и принимает решение о согласовании или отказе в предоставлении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6" w:name="P58"/>
      <w:bookmarkEnd w:id="6"/>
      <w:r>
        <w:t xml:space="preserve">3.3. В случае отсутствия отдельных документов и (или) при наличии иных замечаний Министерство в течение 3 рабочих дней со дня поступления документов направляет </w:t>
      </w:r>
      <w:r>
        <w:t>Получателю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3.4. Основаниями для отказа в предоставлении субсидии являются: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несоотв</w:t>
      </w:r>
      <w:r>
        <w:t xml:space="preserve">етствие представленных Получателем документов требованиям </w:t>
      </w:r>
      <w:hyperlink w:anchor="P51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пункта 3.1</w:t>
        </w:r>
      </w:hyperlink>
      <w:r>
        <w:t xml:space="preserve"> настоящего Порядка или непредставление (представление не в полном об</w:t>
      </w:r>
      <w:r>
        <w:t>ъеме) указанных документов;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недостоверность информации, содержащейся в документах, представленных Получателем;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- несоответствие Получателя требованиям, установленным в </w:t>
      </w:r>
      <w:hyperlink w:anchor="P39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недостаточный объем бюджетных ассигнований на соответствующий финансовый год;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необоснованность финансово-экономических расчетов.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3.5. После устранения причин, послуживших основанием для отказа в предоставлении субсидии, Получатель вправе повторно обратиться в Министерство за получением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Повторное рассмотрение документов н</w:t>
      </w:r>
      <w:r>
        <w:t xml:space="preserve">а предоставление субсидии осуществляется по правилам, установленным в </w:t>
      </w:r>
      <w:hyperlink w:anchor="P57" w:tooltip="3.2. Министерство в течение десяти рабочих дней со дня поступления документов, указанных в пункте 3.1 настоящего Порядка, рассматривает их в том числе на соответствие требованиям, указанным в пункте 2.2 настоящего Порядка, и обоснованность объемов средств, зая">
        <w:r>
          <w:rPr>
            <w:color w:val="0000FF"/>
          </w:rPr>
          <w:t>пунктах 3.2</w:t>
        </w:r>
      </w:hyperlink>
      <w:r>
        <w:t xml:space="preserve"> - </w:t>
      </w:r>
      <w:hyperlink w:anchor="P58" w:tooltip="3.3. В случае отсутствия отдельных документов и (или) при наличии иных замечаний Министерство в течение 3 рабочих дней со дня поступления документов направляет Получателю уведомление с перечнем недостающих документов и рекомендацией представить необходимые док">
        <w:r>
          <w:rPr>
            <w:color w:val="0000FF"/>
          </w:rPr>
          <w:t>3.3</w:t>
        </w:r>
      </w:hyperlink>
      <w:r>
        <w:t xml:space="preserve"> настоящего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3.6. Субсидия носит целевой характер и не может быть использована на другие </w:t>
      </w:r>
      <w:r>
        <w:t>цели.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3.7. Предоставление субсидии Получателю осуществляется в соответствии с соглашением.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Соглашение, дополнительное соглашение к соглашению, в том числе дополнительное соглашение о расторжении соглашения, заключаются в соответствии с типовыми формами, ут</w:t>
      </w:r>
      <w:r>
        <w:t>вержденными Министерством финансов Мурманской области.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В соглашение включаются обязательства Получателя: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lastRenderedPageBreak/>
        <w:t xml:space="preserve">а)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</w:t>
      </w:r>
      <w:r>
        <w:t>д, приводящего к невозможности предоставления субсидии в размере, установленном соглашением;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>б) об обеспечении соблюдения финансового плана и сметы расходов, разработанных в соответствии с пунктом 5 Общих требований к порядку формирования и расчета размера</w:t>
      </w:r>
      <w:r>
        <w:t xml:space="preserve">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</w:t>
      </w:r>
      <w:r>
        <w:t>Мурманской области от 02.07.2021 N 434-ПП;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>в) о заключении соглашения с ГАУМО "Региональный центр организации закупок"</w:t>
      </w:r>
      <w:r>
        <w:t xml:space="preserve">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г) о заключении соглаш</w:t>
      </w:r>
      <w:r>
        <w:t>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</w:t>
      </w:r>
      <w:r>
        <w:t>-Торги".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При реорганизации Получателя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</w:t>
      </w:r>
      <w:r>
        <w:t>а, являющегося правопреемником.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>При реорганизации Получателя в форме разделения, выделения, а также при ликвидации Получателя соглашение расторгается с формированием уведомления о расторжении соглашения в одностороннем порядке и акта об исполнении обязател</w:t>
      </w:r>
      <w:r>
        <w:t>ьств по соглашению с отражением информации о неисполненных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bookmarkStart w:id="7" w:name="P77"/>
      <w:bookmarkEnd w:id="7"/>
      <w:r>
        <w:t xml:space="preserve">3.8. Результатом предоставления Субсидии </w:t>
      </w:r>
      <w:r>
        <w:t>является предоставление услуг в сфере повышения качества и комфорта городской среды Мурманской области, в рамках поддержки развития благоустройства городской среды на территории Мурманской области.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Точная дата завершения и конечное значение результата пред</w:t>
      </w:r>
      <w:r>
        <w:t>оставления субсидии устанавливается в Соглашении и оценивается Министерством исходя из степени достижения установленных Соглашением характеристик результата предоставления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Результат предоставления Субсидии считается достигнутым в полном объеме пр</w:t>
      </w:r>
      <w:r>
        <w:t>и выполнении следующей характеристики: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- выполнение работ по разработке инженерных изысканий, проектной, рабочей, сметной документации, а также концепций благоустройства на развитие общественных территорий городов Мурманской области (количество разработанн</w:t>
      </w:r>
      <w:r>
        <w:t>ых концепций, проектной, рабочей, сметной документации).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lastRenderedPageBreak/>
        <w:t>Значения характеристик, необходимых для достижения результата предоставления Субсидии, устанавливаются в Соглашении.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4. Финансирование Получателя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r>
        <w:t>4.1. Размер субсидии, предоставляемой Получателю из</w:t>
      </w:r>
      <w:r>
        <w:t xml:space="preserve"> областного бюджета, рассчитывается как сумма затрат по направлениям расходов Получателя, указанных в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пункте 1.3</w:t>
        </w:r>
      </w:hyperlink>
      <w:r>
        <w:t xml:space="preserve"> нас</w:t>
      </w:r>
      <w:r>
        <w:t>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Расчет размера субсидии должен быть предоставлен Получателем в составе документов, приложенных к Заявке.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Предельный размер предоставляемой субсидии в 2025 году составляет 41453009 (Сорок один миллион четыреста пятьдесят три тысячи девять) </w:t>
      </w:r>
      <w:r>
        <w:t>рублей 99 копеек.</w:t>
      </w:r>
    </w:p>
    <w:p w:rsidR="00AD24BA" w:rsidRDefault="00AF66C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28.07.2025 N 492-ПП)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</w:t>
      </w:r>
      <w:r>
        <w:t>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"О бюджетном процессе в Мурм</w:t>
      </w:r>
      <w:r>
        <w:t>анской области".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4.2. </w:t>
      </w:r>
      <w:proofErr w:type="gramStart"/>
      <w:r>
        <w:t>Перечисление субсидии осуществляется на основании плана-графика выплат, установленного в приложении к Соглашению, в соответствии с бюджетным законодательством Российской Федерации на расчетный счет Получателя, открытый в российской кр</w:t>
      </w:r>
      <w:r>
        <w:t>едитной организации, не позднее десятого рабочего дня, следующего за днем поступления Министерству средств из областного бюджета.</w:t>
      </w:r>
      <w:proofErr w:type="gramEnd"/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5. Требования к отчетности, порядок и сроки проверки</w:t>
      </w:r>
    </w:p>
    <w:p w:rsidR="00AD24BA" w:rsidRDefault="00AF66C7">
      <w:pPr>
        <w:pStyle w:val="ConsPlusTitle"/>
        <w:jc w:val="center"/>
      </w:pPr>
      <w:r>
        <w:t>и принятия отчетности, предоставленной Получателем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bookmarkStart w:id="8" w:name="P95"/>
      <w:bookmarkEnd w:id="8"/>
      <w:r>
        <w:t>5.1. Получатель пред</w:t>
      </w:r>
      <w:r>
        <w:t>оставляет в Министерство ежеквартально не позднее 5 рабочего дня, следующего за отчетным кварталом: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5.1.1. Отчет о достижении значений результата предоставления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5.1.2. Отчет об осуществлении расходов, источником финансового обеспечения которых яв</w:t>
      </w:r>
      <w:r>
        <w:t>ляется субсидия.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5.2. Отчеты, указанные в </w:t>
      </w:r>
      <w:hyperlink w:anchor="P95" w:tooltip="5.1. Получатель предоставляет в Министерство ежеквартально не позднее 5 рабочего дня, следующего за отчетным кварталом:">
        <w:r>
          <w:rPr>
            <w:color w:val="0000FF"/>
          </w:rPr>
          <w:t>пункте 5.1</w:t>
        </w:r>
      </w:hyperlink>
      <w:r>
        <w:t xml:space="preserve"> настоящего раздела, представляются в Министерство по формам, определенным типовыми формами соглашений, установленными Министерством финансов Мурманской области.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5.3. Проверка отчетов, указанных в </w:t>
      </w:r>
      <w:hyperlink w:anchor="P95" w:tooltip="5.1. Получатель предоставляет в Министерство ежеквартально не позднее 5 рабочего дня, следующего за отчетным кварталом:">
        <w:r>
          <w:rPr>
            <w:color w:val="0000FF"/>
          </w:rPr>
          <w:t>пункте 5.1</w:t>
        </w:r>
      </w:hyperlink>
      <w:r>
        <w:t xml:space="preserve"> настоящего раздела, проводится уполномоченными должностными лицами Министерства в течение 20 (двадцати) рабочих дней со дня представления Получателем отч</w:t>
      </w:r>
      <w:r>
        <w:t>етов на предмет полноты и правильности заполнения отчетности, соблюдения сроков ее представления.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По результатам рассмотрения Министерство принимает решение о принятии либо отклонении представленной отчетности, о чем информирует Получателя посредством почт</w:t>
      </w:r>
      <w:r>
        <w:t xml:space="preserve">овой, </w:t>
      </w:r>
      <w:r>
        <w:lastRenderedPageBreak/>
        <w:t>электронной или иной связи, обеспечивающей их аутентичность.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В случае отклонения отчетности она возвращается Получателю для устранения недостатков и повторного представления в срок, не превышающий 10 рабочих дней </w:t>
      </w:r>
      <w:proofErr w:type="gramStart"/>
      <w:r>
        <w:t>с даты предоставления</w:t>
      </w:r>
      <w:proofErr w:type="gramEnd"/>
      <w:r>
        <w:t xml:space="preserve"> отчетности в Ми</w:t>
      </w:r>
      <w:r>
        <w:t>нистерство.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5.4. Главный распорядитель вправе устанавливать в Соглашении сроки и формы предоставления Получателем дополнительной отчетности.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Title"/>
        <w:jc w:val="center"/>
        <w:outlineLvl w:val="1"/>
      </w:pPr>
      <w:r>
        <w:t>6. Требования об осуществлении контроля (мониторинга)</w:t>
      </w:r>
    </w:p>
    <w:p w:rsidR="00AD24BA" w:rsidRDefault="00AF66C7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AD24BA" w:rsidRDefault="00AF66C7">
      <w:pPr>
        <w:pStyle w:val="ConsPlusTitle"/>
        <w:jc w:val="center"/>
      </w:pPr>
      <w:r>
        <w:t>и о</w:t>
      </w:r>
      <w:r>
        <w:t>тветственность за их нарушение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r>
        <w:t>6.1. Министерство проводит проверки соблюдения Получателем субсидии условий и порядка предоставления субсидий, в том числе в части достижения результатов предоставления субсидии, также органы государственного финансового кон</w:t>
      </w:r>
      <w:r>
        <w:t>троля проводят проверки в соответствии со статьями 268.1 и 269.2 Бюджетного кодекса Российской Федерации.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>По результатам проверок, проводимых Министерством, составляются акты (справки) о проведении проверки (далее - акты (справки)).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>Главный распорядитель о</w:t>
      </w:r>
      <w:r>
        <w:t>существляет проведение мониторинга достижения результата предоставления Субсидии исходя из достижения значений результата предоставления Субсидии, определенных Соглашением, и событий, отражающих факт завершения соответствующего мероприятия по получению рез</w:t>
      </w:r>
      <w:r>
        <w:t>ультата предоставления Субсидии (контрольная точка), в порядке и по формам, которые установлены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</w:t>
      </w:r>
      <w:r>
        <w:t>сидий, в том числе</w:t>
      </w:r>
      <w:proofErr w:type="gramEnd"/>
      <w:r>
        <w:t xml:space="preserve">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Контрольные </w:t>
      </w:r>
      <w:r>
        <w:t>точки с указанием плановых дат их достижения устанавливаются в соглашении в соответствии с планом мероприятий по достижению результата предоставления субсидии, формируемым Министерством по форме и в сроки, установленные Порядком проведения мониторинга.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9" w:name="P112"/>
      <w:bookmarkEnd w:id="9"/>
      <w:r>
        <w:t>6.2</w:t>
      </w:r>
      <w:r>
        <w:t>. В случае выявления при проведении проверок Министерством нарушений Получателем порядка и условий предоставления субсидии Министерство одновременно с подписанием акта (справки) направляет Получателю уведомление о нарушениях (далее - уведомление), в которо</w:t>
      </w:r>
      <w:r>
        <w:t>м указываются выявленные нарушения и сроки их устранения Получателем.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6.3. </w:t>
      </w:r>
      <w:proofErr w:type="gramStart"/>
      <w:r>
        <w:t xml:space="preserve">В случае </w:t>
      </w:r>
      <w:proofErr w:type="spellStart"/>
      <w:r>
        <w:t>неустранения</w:t>
      </w:r>
      <w:proofErr w:type="spellEnd"/>
      <w:r>
        <w:t xml:space="preserve"> нарушений в установленные в уведомлении сроки Министерство в течение 5 (пяти) рабочих дней со дня истечения указанных сроков принимает решение о возврате в бюд</w:t>
      </w:r>
      <w:r>
        <w:t xml:space="preserve">жет средств субсидии, полученных Получателем, в форме приказа Министерства и в сроки, указанные в </w:t>
      </w:r>
      <w:hyperlink w:anchor="P145" w:tooltip="6.6.1. В течение 7 рабочих дней со дня принятия Министерством решения о необходимости возврата выделенных бюджетных средств Получателю направляется соответствующее письменное требование.">
        <w:r>
          <w:rPr>
            <w:color w:val="0000FF"/>
          </w:rPr>
          <w:t>пункте 6.6.1</w:t>
        </w:r>
      </w:hyperlink>
      <w:r>
        <w:t xml:space="preserve"> настоящего Порядка, направляет копии указанного приказа Получателю вместе с требованием, в котором предусматриваются:</w:t>
      </w:r>
      <w:proofErr w:type="gramEnd"/>
    </w:p>
    <w:p w:rsidR="00AD24BA" w:rsidRDefault="00AF66C7">
      <w:pPr>
        <w:pStyle w:val="ConsPlusNormal"/>
        <w:spacing w:before="240"/>
        <w:ind w:firstLine="540"/>
        <w:jc w:val="both"/>
      </w:pPr>
      <w:r>
        <w:t>6.3.1. Подлежащая возврату в бюджет сумма денежных средств, а также сроки ее возврата.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6.3.2. Код бюджетной классификации Российской Федерации, по которому должен быть осуществлен возврат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lastRenderedPageBreak/>
        <w:t>6.4. При наличии остатка субсидии, не использованного в от</w:t>
      </w:r>
      <w:r>
        <w:t xml:space="preserve">четном финансовом году, Получатель вправе в срок до 1 февраля года, следующего за </w:t>
      </w:r>
      <w:proofErr w:type="gramStart"/>
      <w:r>
        <w:t>отчетным</w:t>
      </w:r>
      <w:proofErr w:type="gramEnd"/>
      <w:r>
        <w:t>, направить в Министерство обращение о наличии потребности в остатке субсидии или возврате указанных средств при отсутствии в них потребности.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gramStart"/>
      <w:r>
        <w:t xml:space="preserve">Рассмотрение обращения </w:t>
      </w:r>
      <w:r>
        <w:t>Получателя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</w:t>
      </w:r>
      <w:r>
        <w:t>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</w:t>
      </w:r>
      <w:proofErr w:type="gramEnd"/>
      <w:r>
        <w:t>, утвержденным постановлением Правительства Мурманской обл</w:t>
      </w:r>
      <w:r>
        <w:t>асти от 22.04.2022 N 314-ПП (далее - Порядок принятия и согласования решений о наличии потребности в остатках субсидии).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 xml:space="preserve">и отсутствии в них потребности подлежит </w:t>
      </w:r>
      <w:r>
        <w:t>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6.5. Возврат субсидии осуществляется Получателем в следующих случаях и размерах: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</w:t>
      </w:r>
      <w:r>
        <w:t xml:space="preserve">.5.1. В случае нарушения Получателем субсидии порядка 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результатам проверок, проведенных Министерством в соответствии с </w:t>
      </w:r>
      <w:hyperlink w:anchor="P112" w:tooltip="6.2. В случае выявления при проведении проверок Министерством нарушений Получателем порядка и условий предоставления субсидии Министерство одновременно с подписанием акта (справки) направляет Получателю уведомление о нарушениях (далее - уведомление), в котором">
        <w:r>
          <w:rPr>
            <w:color w:val="0000FF"/>
          </w:rPr>
          <w:t>пунктом 6.2</w:t>
        </w:r>
      </w:hyperlink>
      <w:r>
        <w:t xml:space="preserve"> настоящ</w:t>
      </w:r>
      <w:r>
        <w:t>его Порядка, и органами государственного финансового контроля, - субсидия возвращается в полном объеме.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10" w:name="P121"/>
      <w:bookmarkEnd w:id="10"/>
      <w:r>
        <w:t xml:space="preserve">6.5.2. В случае несоответствия расходов, произведенных за счет средств субсидии, направлениям расходов, установленным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пунктом 1.3</w:t>
        </w:r>
      </w:hyperlink>
      <w:r>
        <w:t xml:space="preserve"> настоящего Порядка, - в размере расходов, не соответствующих направлениям расходов, установленным </w:t>
      </w:r>
      <w:hyperlink w:anchor="P17" w:tooltip="1.3. Субсидия предоставляется на финансовое обеспечение деятельности АНО по следующим направлениям расходов:">
        <w:r>
          <w:rPr>
            <w:color w:val="0000FF"/>
          </w:rPr>
          <w:t>пунктом 1.3</w:t>
        </w:r>
      </w:hyperlink>
      <w:r>
        <w:t xml:space="preserve"> настоящего Порядка.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6.5.3. В случае образования остатка субсидии, не использованного в отчетном финансовом году, и отсутствия решения Министерст</w:t>
      </w:r>
      <w:r>
        <w:t>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6.5.4. В случае нарушения Получателем обязательств по достижению значений результата, предусмотренного </w:t>
      </w:r>
      <w:hyperlink w:anchor="P77" w:tooltip="3.8. Результатом предоставления Субсидии является предоставление услуг в сфере повышения качества и комфорта городской среды Мурманской области, в рамках поддержки развития благоустройства городской среды на территории Мурманской области.">
        <w:r>
          <w:rPr>
            <w:color w:val="0000FF"/>
          </w:rPr>
          <w:t>пунктом 3.8</w:t>
        </w:r>
      </w:hyperlink>
      <w:r>
        <w:t xml:space="preserve"> настоящего Порядка, по итогам отчетного года. В данном случае размер средств субсидии, подлежащих возврату (</w:t>
      </w: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>), определяется по формуле: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Vсуб</w:t>
      </w:r>
      <w:proofErr w:type="spellEnd"/>
      <w:r>
        <w:t xml:space="preserve"> x k x m / n) x 0,01, где: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суб</w:t>
      </w:r>
      <w:proofErr w:type="spellEnd"/>
      <w:r>
        <w:t xml:space="preserve"> - размер Субсидии, предоставленный П</w:t>
      </w:r>
      <w:r>
        <w:t>олучателю в отчетном финансовом году;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m - количество характеристик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результативности предоставления Субсидии, имеет положительное значение;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n - об</w:t>
      </w:r>
      <w:r>
        <w:t>щее количество характеристик использования Субсидии;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k - коэффициент возврата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При расчете объема средств, подлежащих возврату в областной бюджет, не учитывается </w:t>
      </w:r>
      <w:r>
        <w:lastRenderedPageBreak/>
        <w:t>размер остатка Субсидии, не использованного по состоянию на 1 января текущего финансо</w:t>
      </w:r>
      <w:r>
        <w:t>вого года, потребность в котором не подтверждена.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Коэффициент возврата Субсидии рассчитывается по формуле:</w:t>
      </w:r>
    </w:p>
    <w:p w:rsidR="00AD24BA" w:rsidRDefault="00AD24BA">
      <w:pPr>
        <w:pStyle w:val="ConsPlusNormal"/>
        <w:jc w:val="both"/>
      </w:pPr>
    </w:p>
    <w:p w:rsidR="00AD24BA" w:rsidRPr="00AF66C7" w:rsidRDefault="00AF66C7">
      <w:pPr>
        <w:pStyle w:val="ConsPlusNormal"/>
        <w:jc w:val="center"/>
        <w:rPr>
          <w:lang w:val="en-US"/>
        </w:rPr>
      </w:pPr>
      <w:r w:rsidRPr="00AF66C7">
        <w:rPr>
          <w:lang w:val="en-US"/>
        </w:rPr>
        <w:t xml:space="preserve">k = SUM Di / m, </w:t>
      </w:r>
      <w:r>
        <w:t>где</w:t>
      </w:r>
      <w:r w:rsidRPr="00AF66C7">
        <w:rPr>
          <w:lang w:val="en-US"/>
        </w:rPr>
        <w:t>:</w:t>
      </w:r>
    </w:p>
    <w:p w:rsidR="00AD24BA" w:rsidRPr="00AF66C7" w:rsidRDefault="00AD24BA">
      <w:pPr>
        <w:pStyle w:val="ConsPlusNormal"/>
        <w:jc w:val="both"/>
        <w:rPr>
          <w:lang w:val="en-US"/>
        </w:rPr>
      </w:pPr>
    </w:p>
    <w:p w:rsidR="00AD24BA" w:rsidRDefault="00AF66C7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результативности использования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При расчете коэффицие</w:t>
      </w:r>
      <w:r>
        <w:t xml:space="preserve">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результативности использования Субсидии.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результативности использования</w:t>
      </w:r>
      <w:r>
        <w:t xml:space="preserve"> Субсидии, определяется: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i-й </w:t>
      </w:r>
      <w:proofErr w:type="gramStart"/>
      <w:r>
        <w:t>характеристики на</w:t>
      </w:r>
      <w:proofErr w:type="gramEnd"/>
      <w:r>
        <w:t xml:space="preserve"> отчетную дату;</w:t>
      </w:r>
    </w:p>
    <w:p w:rsidR="00AD24BA" w:rsidRDefault="00AF66C7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i-й характеристики, установленное Соглашением.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6.6. Возврат субсидии в случаях отсутствия подтверждения налич</w:t>
      </w:r>
      <w:r>
        <w:t>ия потребности в неиспользованных остатках и (или) нарушения Получателем порядка и условий ее предоставления и (или) представления недостоверных сведений, которые выявлены по фактам проверок, проведенных Министерством, и которые повлекли необоснованное пол</w:t>
      </w:r>
      <w:r>
        <w:t>учение субсидии, осуществляется Получателем в следующем порядке:</w:t>
      </w:r>
    </w:p>
    <w:p w:rsidR="00AD24BA" w:rsidRDefault="00AF66C7">
      <w:pPr>
        <w:pStyle w:val="ConsPlusNormal"/>
        <w:spacing w:before="240"/>
        <w:ind w:firstLine="540"/>
        <w:jc w:val="both"/>
      </w:pPr>
      <w:bookmarkStart w:id="11" w:name="P145"/>
      <w:bookmarkEnd w:id="11"/>
      <w:r>
        <w:t>6.6.1. В течение 7 рабочих дней со дня принятия Министерством решения о необходимости возврата выделенных бюджетных средств Получателю направляется соответствующее письменное требование.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>6.6.</w:t>
      </w:r>
      <w:r>
        <w:t>2. Получатель в течение 10 рабочих дней со дня получения письменного требования обязан перечислить в бюджет указанную сумму средств.</w:t>
      </w:r>
    </w:p>
    <w:p w:rsidR="00AD24BA" w:rsidRDefault="00AF66C7">
      <w:pPr>
        <w:pStyle w:val="ConsPlusNormal"/>
        <w:spacing w:before="240"/>
        <w:ind w:firstLine="540"/>
        <w:jc w:val="both"/>
      </w:pPr>
      <w:r>
        <w:t xml:space="preserve">Сумма остатка субсидии, указанного в </w:t>
      </w:r>
      <w:hyperlink w:anchor="P121" w:tooltip="6.5.2. В случае несоответствия расходов, произведенных за счет средств субсидии, направлениям расходов, установленным пунктом 1.3 настоящего Порядка, - в размере расходов, не соответствующих направлениям расходов, установленным пунктом 1.3 настоящего Порядка.">
        <w:r>
          <w:rPr>
            <w:color w:val="0000FF"/>
          </w:rPr>
          <w:t>подпункте 6.5.2</w:t>
        </w:r>
      </w:hyperlink>
      <w:r>
        <w:t xml:space="preserve"> настоящего Порядка, подлежит переч</w:t>
      </w:r>
      <w:r>
        <w:t>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</w:t>
      </w:r>
      <w:r>
        <w:t xml:space="preserve"> бюджета, предоставившего субсидию).</w:t>
      </w:r>
    </w:p>
    <w:p w:rsidR="00AD24BA" w:rsidRDefault="00AD24BA">
      <w:pPr>
        <w:pStyle w:val="ConsPlusNormal"/>
        <w:jc w:val="both"/>
      </w:pPr>
    </w:p>
    <w:p w:rsidR="00AD24BA" w:rsidRDefault="00AD24BA">
      <w:pPr>
        <w:pStyle w:val="ConsPlusNormal"/>
        <w:jc w:val="both"/>
      </w:pPr>
    </w:p>
    <w:p w:rsidR="00AD24BA" w:rsidRDefault="00AD24BA">
      <w:pPr>
        <w:pStyle w:val="ConsPlusNormal"/>
        <w:jc w:val="both"/>
      </w:pPr>
    </w:p>
    <w:p w:rsidR="00AD24BA" w:rsidRDefault="00AD24BA">
      <w:pPr>
        <w:pStyle w:val="ConsPlusNormal"/>
        <w:jc w:val="both"/>
      </w:pPr>
    </w:p>
    <w:p w:rsidR="00AD24BA" w:rsidRDefault="00AD24BA">
      <w:pPr>
        <w:pStyle w:val="ConsPlusNormal"/>
        <w:jc w:val="both"/>
      </w:pPr>
    </w:p>
    <w:p w:rsidR="00AD24BA" w:rsidRDefault="00AF66C7">
      <w:pPr>
        <w:pStyle w:val="ConsPlusNormal"/>
      </w:pPr>
      <w:r>
        <w:rPr>
          <w:i/>
        </w:rPr>
        <w:br/>
        <w:t>Постановление Правительства Мурманской области от 28.12.2024 N 991-ПП (ред. от 23.09.2025) "Об утверждении государственной программы Мурманской области "Формирование современной городской среды"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AD24BA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BA"/>
    <w:rsid w:val="00AD24BA"/>
    <w:rsid w:val="00AF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4230</Words>
  <Characters>24112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vt:lpstr>
    </vt:vector>
  </TitlesOfParts>
  <Company>КонсультантПлюс Версия 4024.00.50</Company>
  <LinksUpToDate>false</LinksUpToDate>
  <CharactersWithSpaces>28286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dc:title>
  <dc:creator>Поддубная А.В.</dc:creator>
  <cp:lastModifiedBy>Поддубная А.В.</cp:lastModifiedBy>
  <cp:revision>2</cp:revision>
  <dcterms:created xsi:type="dcterms:W3CDTF">2025-10-08T12:35:00Z</dcterms:created>
  <dcterms:modified xsi:type="dcterms:W3CDTF">2025-10-08T12:35:00Z</dcterms:modified>
</cp:coreProperties>
</file>